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E97D" w14:textId="77777777" w:rsidR="00243240" w:rsidRPr="00243240" w:rsidRDefault="00243240" w:rsidP="00243240">
      <w:pPr>
        <w:rPr>
          <w:rFonts w:ascii="Aptos" w:eastAsia="Times New Roman" w:hAnsi="Aptos" w:cs="Times New Roman"/>
          <w:color w:val="212121"/>
          <w:kern w:val="0"/>
          <w:lang w:eastAsia="pl-PL"/>
          <w14:ligatures w14:val="none"/>
        </w:rPr>
      </w:pPr>
      <w:r w:rsidRPr="00243240">
        <w:rPr>
          <w:rFonts w:ascii="Aptos" w:eastAsia="Times New Roman" w:hAnsi="Aptos" w:cs="Times New Roman"/>
          <w:b/>
          <w:bCs/>
          <w:color w:val="212121"/>
          <w:kern w:val="0"/>
          <w:lang w:eastAsia="pl-PL"/>
          <w14:ligatures w14:val="none"/>
        </w:rPr>
        <w:t xml:space="preserve">Wierzyciele HREIT wspierają Michała </w:t>
      </w:r>
      <w:proofErr w:type="spellStart"/>
      <w:r w:rsidRPr="00243240">
        <w:rPr>
          <w:rFonts w:ascii="Aptos" w:eastAsia="Times New Roman" w:hAnsi="Aptos" w:cs="Times New Roman"/>
          <w:b/>
          <w:bCs/>
          <w:color w:val="212121"/>
          <w:kern w:val="0"/>
          <w:lang w:eastAsia="pl-PL"/>
          <w14:ligatures w14:val="none"/>
        </w:rPr>
        <w:t>Sapotę</w:t>
      </w:r>
      <w:proofErr w:type="spellEnd"/>
      <w:r w:rsidRPr="00243240">
        <w:rPr>
          <w:rFonts w:ascii="Aptos" w:eastAsia="Times New Roman" w:hAnsi="Aptos" w:cs="Times New Roman"/>
          <w:b/>
          <w:bCs/>
          <w:color w:val="212121"/>
          <w:kern w:val="0"/>
          <w:lang w:eastAsia="pl-PL"/>
          <w14:ligatures w14:val="none"/>
        </w:rPr>
        <w:t>. Coraz silniejszy sprzeciw wobec dotychczasowego nadzorcy sądowego</w:t>
      </w:r>
    </w:p>
    <w:p w14:paraId="230055D3" w14:textId="77777777" w:rsidR="00243240" w:rsidRPr="00243240" w:rsidRDefault="00243240" w:rsidP="00243240">
      <w:pPr>
        <w:rPr>
          <w:rFonts w:ascii="Aptos" w:eastAsia="Times New Roman" w:hAnsi="Aptos" w:cs="Times New Roman"/>
          <w:color w:val="212121"/>
          <w:kern w:val="0"/>
          <w:lang w:eastAsia="pl-PL"/>
          <w14:ligatures w14:val="none"/>
        </w:rPr>
      </w:pPr>
      <w:r w:rsidRPr="00243240">
        <w:rPr>
          <w:rFonts w:ascii="Aptos" w:eastAsia="Times New Roman" w:hAnsi="Aptos" w:cs="Times New Roman"/>
          <w:color w:val="212121"/>
          <w:kern w:val="0"/>
          <w:lang w:eastAsia="pl-PL"/>
          <w14:ligatures w14:val="none"/>
        </w:rPr>
        <w:t>Kilkuset wierzycieli HREIT S.A. w restrukturyzacji – w tym nabywcy lokali – opowiedziało się jednoznacznie za zmianą dotychczasowego nadzorcy sądowego. W poniedziałek rano do Sądu Rejonowego w Warszawie wpłynął oficjalny wniosek spółki w tej sprawie, poparty oświadczeniami wierzycieli reprezentujących ponad 30% łącznej sumy wierzytelności. Taki poziom poparcia – zgodnie z przepisami – zobowiązuje sąd do uwzględnienia żądania i zmiany nadzorcy. </w:t>
      </w:r>
    </w:p>
    <w:p w14:paraId="5EE94B67" w14:textId="77777777" w:rsidR="00243240" w:rsidRPr="00243240" w:rsidRDefault="00243240" w:rsidP="00243240">
      <w:pPr>
        <w:rPr>
          <w:rFonts w:ascii="Aptos" w:eastAsia="Times New Roman" w:hAnsi="Aptos" w:cs="Times New Roman"/>
          <w:color w:val="212121"/>
          <w:kern w:val="0"/>
          <w:lang w:eastAsia="pl-PL"/>
          <w14:ligatures w14:val="none"/>
        </w:rPr>
      </w:pPr>
      <w:r w:rsidRPr="00243240">
        <w:rPr>
          <w:rFonts w:ascii="Aptos" w:eastAsia="Times New Roman" w:hAnsi="Aptos" w:cs="Times New Roman"/>
          <w:color w:val="212121"/>
          <w:kern w:val="0"/>
          <w:lang w:eastAsia="pl-PL"/>
          <w14:ligatures w14:val="none"/>
        </w:rPr>
        <w:t>Analogiczny wniosek wraz z poparciem wierzycieli złożono również w postępowaniu restrukturyzacyjnym spółki BDC Development S.A., należącej do grupy HREIT.</w:t>
      </w:r>
    </w:p>
    <w:p w14:paraId="36FEA0C2" w14:textId="77777777" w:rsidR="00243240" w:rsidRPr="00243240" w:rsidRDefault="00243240" w:rsidP="00243240">
      <w:pPr>
        <w:rPr>
          <w:rFonts w:ascii="Aptos" w:eastAsia="Times New Roman" w:hAnsi="Aptos" w:cs="Times New Roman"/>
          <w:color w:val="212121"/>
          <w:kern w:val="0"/>
          <w:lang w:eastAsia="pl-PL"/>
          <w14:ligatures w14:val="none"/>
        </w:rPr>
      </w:pPr>
      <w:r w:rsidRPr="00243240">
        <w:rPr>
          <w:rFonts w:ascii="Aptos" w:eastAsia="Times New Roman" w:hAnsi="Aptos" w:cs="Times New Roman"/>
          <w:color w:val="212121"/>
          <w:kern w:val="0"/>
          <w:lang w:eastAsia="pl-PL"/>
          <w14:ligatures w14:val="none"/>
        </w:rPr>
        <w:t xml:space="preserve">Wierzyciele wyrażają tym samym sprzeciw wobec dotychczasowego przebiegu postępowań oraz działań obecnego nadzorcy sądowego, który poparł wniosek o ustanowienie zarządu przymusowego nad spółką. Wniosek ten złożył tymczasowy nadzorca w postępowaniu upadłościowym – Marcin Kubiczek – wskazując jako kandydata spółkę RZMK </w:t>
      </w:r>
      <w:proofErr w:type="spellStart"/>
      <w:r w:rsidRPr="00243240">
        <w:rPr>
          <w:rFonts w:ascii="Aptos" w:eastAsia="Times New Roman" w:hAnsi="Aptos" w:cs="Times New Roman"/>
          <w:color w:val="212121"/>
          <w:kern w:val="0"/>
          <w:lang w:eastAsia="pl-PL"/>
          <w14:ligatures w14:val="none"/>
        </w:rPr>
        <w:t>Restructuring</w:t>
      </w:r>
      <w:proofErr w:type="spellEnd"/>
      <w:r w:rsidRPr="00243240">
        <w:rPr>
          <w:rFonts w:ascii="Aptos" w:eastAsia="Times New Roman" w:hAnsi="Aptos" w:cs="Times New Roman"/>
          <w:color w:val="212121"/>
          <w:kern w:val="0"/>
          <w:lang w:eastAsia="pl-PL"/>
          <w14:ligatures w14:val="none"/>
        </w:rPr>
        <w:t>, której sam jest prezesem. Wierzyciele słusznie postrzegają tę sytuację jako rażący konflikt interesów.</w:t>
      </w:r>
    </w:p>
    <w:p w14:paraId="616A135B" w14:textId="77777777" w:rsidR="00243240" w:rsidRPr="00243240" w:rsidRDefault="00243240" w:rsidP="00243240">
      <w:pPr>
        <w:rPr>
          <w:rFonts w:ascii="Aptos" w:eastAsia="Times New Roman" w:hAnsi="Aptos" w:cs="Times New Roman"/>
          <w:color w:val="212121"/>
          <w:kern w:val="0"/>
          <w:lang w:eastAsia="pl-PL"/>
          <w14:ligatures w14:val="none"/>
        </w:rPr>
      </w:pPr>
      <w:r w:rsidRPr="00243240">
        <w:rPr>
          <w:rFonts w:ascii="Aptos" w:eastAsia="Times New Roman" w:hAnsi="Aptos" w:cs="Times New Roman"/>
          <w:color w:val="212121"/>
          <w:kern w:val="0"/>
          <w:lang w:eastAsia="pl-PL"/>
          <w14:ligatures w14:val="none"/>
        </w:rPr>
        <w:t>Obawiają się, że ogłoszenie upadłości mogłoby doprowadzić do sprzedaży majątku HREIT poniżej jego rzeczywistej wartości oraz do znaczącego wzrostu kosztów postępowania – jak miało to miejsce w innych sprawach, w których pojawiał się ten sam nadzorca. W konsekwencji mogłoby to oznaczać brak możliwości odzyskania środków przez nabywców lokali.</w:t>
      </w:r>
    </w:p>
    <w:p w14:paraId="3D7584F1" w14:textId="77777777" w:rsidR="00243240" w:rsidRPr="00243240" w:rsidRDefault="00243240" w:rsidP="00243240">
      <w:pPr>
        <w:rPr>
          <w:rFonts w:ascii="Aptos" w:eastAsia="Times New Roman" w:hAnsi="Aptos" w:cs="Times New Roman"/>
          <w:color w:val="212121"/>
          <w:kern w:val="0"/>
          <w:lang w:eastAsia="pl-PL"/>
          <w14:ligatures w14:val="none"/>
        </w:rPr>
      </w:pPr>
      <w:r w:rsidRPr="00243240">
        <w:rPr>
          <w:rFonts w:ascii="Aptos" w:eastAsia="Times New Roman" w:hAnsi="Aptos" w:cs="Times New Roman"/>
          <w:color w:val="212121"/>
          <w:kern w:val="0"/>
          <w:lang w:eastAsia="pl-PL"/>
          <w14:ligatures w14:val="none"/>
        </w:rPr>
        <w:t>Tymczasem HREIT S.A. kontynuuje rozmowy z wierzycielami, by skutecznie dokończyć proces restrukturyzacji, spłacić zobowiązania i przede wszystkim – zakończyć wszystkie inwestycje zgodnie z przyjętym planem, chroniąc interesy nabywców lokali.</w:t>
      </w:r>
    </w:p>
    <w:p w14:paraId="6079E731" w14:textId="77777777" w:rsidR="00243240" w:rsidRPr="00243240" w:rsidRDefault="00243240" w:rsidP="00243240">
      <w:pPr>
        <w:rPr>
          <w:rFonts w:ascii="Aptos" w:eastAsia="Times New Roman" w:hAnsi="Aptos" w:cs="Times New Roman"/>
          <w:color w:val="212121"/>
          <w:kern w:val="0"/>
          <w:lang w:eastAsia="pl-PL"/>
          <w14:ligatures w14:val="none"/>
        </w:rPr>
      </w:pPr>
      <w:r w:rsidRPr="00243240">
        <w:rPr>
          <w:rFonts w:ascii="Aptos" w:eastAsia="Times New Roman" w:hAnsi="Aptos" w:cs="Times New Roman"/>
          <w:color w:val="212121"/>
          <w:kern w:val="0"/>
          <w:lang w:eastAsia="pl-PL"/>
          <w14:ligatures w14:val="none"/>
        </w:rPr>
        <w:t>W przestrzeni publicznej często pomija się fakty dotyczące skali działalności grupy HREIT. Dotychczas zrealizowano 12 projektów deweloperskich, oddano do użytkowania 29 budynków mieszkalnych, w których własność lokali nabyło łącznie ponad 1300 osób. Kolejne 11 inwestycji jest w trakcie realizacji – poprzedzone zostały zakupami gruntów, opracowaniem projektów, uzyskaniem decyzji administracyjnych, a niejednokrotnie także pracami rozbiórkowymi.</w:t>
      </w:r>
    </w:p>
    <w:p w14:paraId="3FA7343E" w14:textId="77777777" w:rsidR="00243240" w:rsidRPr="00243240" w:rsidRDefault="00243240" w:rsidP="00243240">
      <w:pPr>
        <w:rPr>
          <w:rFonts w:ascii="Aptos" w:eastAsia="Times New Roman" w:hAnsi="Aptos" w:cs="Times New Roman"/>
          <w:color w:val="212121"/>
          <w:kern w:val="0"/>
          <w:lang w:eastAsia="pl-PL"/>
          <w14:ligatures w14:val="none"/>
        </w:rPr>
      </w:pPr>
      <w:r w:rsidRPr="00243240">
        <w:rPr>
          <w:rFonts w:ascii="Aptos" w:eastAsia="Times New Roman" w:hAnsi="Aptos" w:cs="Times New Roman"/>
          <w:color w:val="212121"/>
          <w:kern w:val="0"/>
          <w:lang w:eastAsia="pl-PL"/>
          <w14:ligatures w14:val="none"/>
        </w:rPr>
        <w:t>Na przygotowanie i realizację tych przedsięwzięć – w tym dokumentację projektową, pozwolenia, przyłącza mediów i roboty budowlane – grupa HREIT zainwestowała łącznie setki milionów złotych, wykorzystując zarówno środki własne, jak i środki od inwestorów.</w:t>
      </w:r>
    </w:p>
    <w:p w14:paraId="0C8C0884" w14:textId="77777777" w:rsidR="00243240" w:rsidRPr="00243240" w:rsidRDefault="00243240" w:rsidP="00243240">
      <w:pPr>
        <w:rPr>
          <w:rFonts w:ascii="Aptos" w:eastAsia="Times New Roman" w:hAnsi="Aptos" w:cs="Times New Roman"/>
          <w:color w:val="212121"/>
          <w:kern w:val="0"/>
          <w:lang w:eastAsia="pl-PL"/>
          <w14:ligatures w14:val="none"/>
        </w:rPr>
      </w:pPr>
      <w:r w:rsidRPr="00243240">
        <w:rPr>
          <w:rFonts w:ascii="Aptos" w:eastAsia="Times New Roman" w:hAnsi="Aptos" w:cs="Times New Roman"/>
          <w:color w:val="212121"/>
          <w:kern w:val="0"/>
          <w:lang w:eastAsia="pl-PL"/>
          <w14:ligatures w14:val="none"/>
        </w:rPr>
        <w:t>Pomimo trudności i braku wsparcia ze strony obecnego nadzorcy sądowego, od momentu otwarcia postępowania restrukturyzacyjnego spółka dokończyła 5 inwestycji, przekazując łącznie 437 lokali nowym właścicielom.</w:t>
      </w:r>
    </w:p>
    <w:p w14:paraId="732F6932" w14:textId="77777777" w:rsidR="00243240" w:rsidRPr="00243240" w:rsidRDefault="00243240" w:rsidP="00243240">
      <w:pPr>
        <w:rPr>
          <w:rFonts w:ascii="Aptos" w:eastAsia="Times New Roman" w:hAnsi="Aptos" w:cs="Times New Roman"/>
          <w:color w:val="212121"/>
          <w:kern w:val="0"/>
          <w:lang w:eastAsia="pl-PL"/>
          <w14:ligatures w14:val="none"/>
        </w:rPr>
      </w:pPr>
      <w:r w:rsidRPr="00243240">
        <w:rPr>
          <w:rFonts w:ascii="Aptos" w:eastAsia="Times New Roman" w:hAnsi="Aptos" w:cs="Times New Roman"/>
          <w:color w:val="212121"/>
          <w:kern w:val="0"/>
          <w:lang w:eastAsia="pl-PL"/>
          <w14:ligatures w14:val="none"/>
        </w:rPr>
        <w:t>Obecne działania nadzorcy i proponowanego zarządcy przymusowego zmierzają jednak do ogłoszenia upadłości – wbrew interesom wierzycieli – i do zaprzepaszczenia dotychczasowych wysiłków oraz realnych szans na odzyskanie środków i dokończenie budów.</w:t>
      </w:r>
    </w:p>
    <w:p w14:paraId="7710868C" w14:textId="77777777" w:rsidR="003375C1" w:rsidRDefault="003375C1"/>
    <w:sectPr w:rsidR="003375C1" w:rsidSect="00A1341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40"/>
    <w:rsid w:val="00084579"/>
    <w:rsid w:val="00243240"/>
    <w:rsid w:val="003375C1"/>
    <w:rsid w:val="0073508F"/>
    <w:rsid w:val="009E0FD0"/>
    <w:rsid w:val="00A1341E"/>
    <w:rsid w:val="00E9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1099ED"/>
  <w15:chartTrackingRefBased/>
  <w15:docId w15:val="{0D3B604B-46AE-ED4F-BF99-F01CBF49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3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3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3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3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3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32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32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32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32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3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3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3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32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32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32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32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32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32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32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3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32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3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32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32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32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32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3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32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324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243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Skotarska</dc:creator>
  <cp:keywords/>
  <dc:description/>
  <cp:lastModifiedBy>Izabela Skotarska</cp:lastModifiedBy>
  <cp:revision>1</cp:revision>
  <dcterms:created xsi:type="dcterms:W3CDTF">2025-10-20T14:34:00Z</dcterms:created>
  <dcterms:modified xsi:type="dcterms:W3CDTF">2025-10-20T14:34:00Z</dcterms:modified>
</cp:coreProperties>
</file>