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DB75" w14:textId="447A3F2A" w:rsidR="00631444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fldChar w:fldCharType="begin"/>
      </w:r>
      <w:r>
        <w:instrText xml:space="preserve"> INCLUDEPICTURE "https://encrypted-tbn0.gstatic.com/images?q=tbn:ANd9GcTLx4mW1dufqbWeZdCgE-hNJxdo5vO9KWGnrA&amp;s"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A9C658" wp14:editId="1DD6D48B">
            <wp:extent cx="1850006" cy="782664"/>
            <wp:effectExtent l="0" t="0" r="4445" b="5080"/>
            <wp:docPr id="2137646360" name="Obraz 1" descr="HREIT – Deweloper ogólnopolski | Heritage Real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REIT – Deweloper ogólnopolski | Heritage Real Es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2" cy="8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631444">
        <w:t xml:space="preserve"> </w:t>
      </w:r>
    </w:p>
    <w:p w14:paraId="368B1E9D" w14:textId="77777777" w:rsidR="00631444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C19019B" w14:textId="224119E5" w:rsidR="00A6585D" w:rsidRPr="00631444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>Komunikat prasowy</w:t>
      </w:r>
    </w:p>
    <w:p w14:paraId="289DE252" w14:textId="77777777" w:rsidR="00A6585D" w:rsidRDefault="00A6585D" w:rsidP="00A6585D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684ABC1E" w14:textId="4C003F0D" w:rsidR="00A6585D" w:rsidRPr="00631444" w:rsidRDefault="00A6585D" w:rsidP="00A6585D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>Warszawa, 29 sierpnia 2025</w:t>
      </w:r>
    </w:p>
    <w:p w14:paraId="7EB65680" w14:textId="1162CDDE" w:rsidR="00A6585D" w:rsidRP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31444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A6585D">
        <w:rPr>
          <w:rFonts w:eastAsia="Times New Roman" w:cs="Times New Roman"/>
          <w:b/>
          <w:bCs/>
          <w:kern w:val="0"/>
          <w14:ligatures w14:val="none"/>
        </w:rPr>
        <w:t>HREIT S.A.</w:t>
      </w:r>
      <w:r w:rsidR="008D4AF5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A6585D">
        <w:rPr>
          <w:rFonts w:eastAsia="Times New Roman" w:cs="Times New Roman"/>
          <w:b/>
          <w:bCs/>
          <w:kern w:val="0"/>
          <w14:ligatures w14:val="none"/>
        </w:rPr>
        <w:t xml:space="preserve">i BDC Development S.A.: </w:t>
      </w:r>
      <w:r w:rsidRPr="00631444">
        <w:rPr>
          <w:rFonts w:eastAsia="Times New Roman" w:cs="Times New Roman"/>
          <w:b/>
          <w:bCs/>
          <w:kern w:val="0"/>
          <w14:ligatures w14:val="none"/>
        </w:rPr>
        <w:t xml:space="preserve">priorytetami </w:t>
      </w:r>
      <w:r w:rsidRPr="00A6585D">
        <w:rPr>
          <w:rFonts w:eastAsia="Times New Roman" w:cs="Times New Roman"/>
          <w:b/>
          <w:bCs/>
          <w:kern w:val="0"/>
          <w14:ligatures w14:val="none"/>
        </w:rPr>
        <w:t>restrukturyzacja</w:t>
      </w:r>
      <w:r w:rsidRPr="00631444">
        <w:rPr>
          <w:rFonts w:eastAsia="Times New Roman" w:cs="Times New Roman"/>
          <w:b/>
          <w:bCs/>
          <w:kern w:val="0"/>
          <w14:ligatures w14:val="none"/>
        </w:rPr>
        <w:t xml:space="preserve">, </w:t>
      </w:r>
      <w:r w:rsidRPr="00A6585D">
        <w:rPr>
          <w:rFonts w:eastAsia="Times New Roman" w:cs="Times New Roman"/>
          <w:b/>
          <w:bCs/>
          <w:kern w:val="0"/>
          <w14:ligatures w14:val="none"/>
        </w:rPr>
        <w:t>ochrona inwestorów i kontynuacja budów</w:t>
      </w:r>
    </w:p>
    <w:p w14:paraId="7558CF0C" w14:textId="171654AD" w:rsid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W związku z decyzją Sądu </w:t>
      </w:r>
      <w:r w:rsidR="00412284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Rejonowego w Warszawie</w:t>
      </w:r>
      <w:r w:rsidR="00412284"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o ustanowieniu </w:t>
      </w:r>
      <w:r w:rsidR="00412284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zarządcy przymusowego</w:t>
      </w:r>
      <w:r w:rsidR="00412284"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w postępowaniu dotyczącym HREIT S.A. </w:t>
      </w:r>
      <w:r w:rsidR="0044590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w restrukturyzacji </w:t>
      </w:r>
      <w:r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oraz BDC Development S.A.</w:t>
      </w:r>
      <w:r w:rsidR="0044590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w restrukturyzacji</w:t>
      </w:r>
      <w:r w:rsidRPr="00A6585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, zarząd spółek podjął zdecydowane działania mające na celu ochronę interesów inwestorów i nabywców mieszkań oraz zapewnienie pełnej przejrzystości procesu.</w:t>
      </w:r>
    </w:p>
    <w:p w14:paraId="66938652" w14:textId="4B680B67" w:rsidR="009F755C" w:rsidRPr="00AD7FB9" w:rsidRDefault="009F755C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D7FB9">
        <w:rPr>
          <w:rFonts w:eastAsia="Times New Roman" w:cs="Times New Roman"/>
          <w:kern w:val="0"/>
          <w:sz w:val="22"/>
          <w:szCs w:val="22"/>
          <w14:ligatures w14:val="none"/>
        </w:rPr>
        <w:t>Sąd Rejonowy w Warszawie ustanowił zarządcę przymu</w:t>
      </w:r>
      <w:r w:rsidR="00AD7FB9">
        <w:rPr>
          <w:rFonts w:eastAsia="Times New Roman" w:cs="Times New Roman"/>
          <w:kern w:val="0"/>
          <w:sz w:val="22"/>
          <w:szCs w:val="22"/>
          <w14:ligatures w14:val="none"/>
        </w:rPr>
        <w:t xml:space="preserve">sowego dla Spółek, jednak oba podmioty pozostają w restrukturyzacji. </w:t>
      </w:r>
      <w:r w:rsidR="00AD7FB9" w:rsidRPr="00412284">
        <w:rPr>
          <w:rFonts w:eastAsia="Times New Roman" w:cs="Times New Roman"/>
          <w:kern w:val="0"/>
          <w:sz w:val="22"/>
          <w:szCs w:val="22"/>
          <w14:ligatures w14:val="none"/>
        </w:rPr>
        <w:t>Stało się to w wyniku uproszczonego wniosku o ogłoszenie upadłości Spółek</w:t>
      </w:r>
      <w:r w:rsidR="00AD7FB9">
        <w:rPr>
          <w:rFonts w:eastAsia="Times New Roman" w:cs="Times New Roman"/>
          <w:kern w:val="0"/>
          <w:sz w:val="22"/>
          <w:szCs w:val="22"/>
          <w14:ligatures w14:val="none"/>
        </w:rPr>
        <w:t xml:space="preserve">, którego złożenie było możliwe </w:t>
      </w:r>
      <w:r w:rsidR="00AD7FB9" w:rsidRPr="00412284">
        <w:rPr>
          <w:rFonts w:eastAsia="Times New Roman" w:cs="Times New Roman"/>
          <w:kern w:val="0"/>
          <w:sz w:val="22"/>
          <w:szCs w:val="22"/>
          <w14:ligatures w14:val="none"/>
        </w:rPr>
        <w:t xml:space="preserve">po </w:t>
      </w:r>
      <w:r w:rsidR="00AD7FB9" w:rsidRPr="00A85AB9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nieprawomocnym</w:t>
      </w:r>
      <w:r w:rsidR="00AD7FB9" w:rsidRPr="00412284">
        <w:rPr>
          <w:rFonts w:eastAsia="Times New Roman" w:cs="Times New Roman"/>
          <w:kern w:val="0"/>
          <w:sz w:val="22"/>
          <w:szCs w:val="22"/>
          <w14:ligatures w14:val="none"/>
        </w:rPr>
        <w:t xml:space="preserve"> umorzeniu postępowań restrukturyzacyjnych.</w:t>
      </w:r>
    </w:p>
    <w:p w14:paraId="373D6AA1" w14:textId="7979480B" w:rsidR="00AD7FB9" w:rsidRPr="00A6585D" w:rsidRDefault="00AD7FB9" w:rsidP="00AD7F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 </w:t>
      </w:r>
      <w:r w:rsidR="009F755C"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W żadnym wypadku nie oznacza to jednak finału restrukturyzacji. Po pierwsze Sąd rozpatruje teraz zażalenia </w:t>
      </w:r>
      <w:r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naszych </w:t>
      </w:r>
      <w:r w:rsidR="009F755C"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spółek, mające na celu utrzymanie </w:t>
      </w:r>
      <w:r w:rsidR="009F755C"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bieżących</w:t>
      </w:r>
      <w:r w:rsidR="009F755C"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postępowań restrukturyzacyjnych. Nawet jeśli zażalenia te nie zostaną rozpatrzone pozytywnie, to planuje</w:t>
      </w:r>
      <w:r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my</w:t>
      </w:r>
      <w:r w:rsidR="009F755C" w:rsidRPr="00AD7FB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złożenie kolejnych, zaktualizowanych wniosków restrukturyzacyjnych. Co więcej, działanie takie zyskało poparcie wierzycieli dysponujących ponad 30% sumy wierzytelności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informuje </w:t>
      </w:r>
      <w:r w:rsidR="004A062D" w:rsidRPr="00B86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Michał </w:t>
      </w:r>
      <w:proofErr w:type="spellStart"/>
      <w:r w:rsidR="004A062D" w:rsidRPr="00B86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Sapota</w:t>
      </w:r>
      <w:proofErr w:type="spellEnd"/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 xml:space="preserve"> Prezes Zarządu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HREIT S.A.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w restrukturyzacji 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i BDC Development S.A.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w restrukturyzacji.</w:t>
      </w:r>
    </w:p>
    <w:p w14:paraId="47A57A0F" w14:textId="0A03A03A" w:rsid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Zarząd wskazuje, że w przypadku upadłości istnieje poważne ryzyko, że wszystkie inwestycje deweloperskie zostałyby zatrzymane, ponieważ 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 xml:space="preserve">zadaniem 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syndyk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nie 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 xml:space="preserve">jest </w:t>
      </w:r>
      <w:r w:rsidR="008D4AF5" w:rsidRPr="00A6585D">
        <w:rPr>
          <w:rFonts w:eastAsia="Times New Roman" w:cs="Times New Roman"/>
          <w:kern w:val="0"/>
          <w:sz w:val="22"/>
          <w:szCs w:val="22"/>
          <w14:ligatures w14:val="none"/>
        </w:rPr>
        <w:t>prowadze</w:t>
      </w:r>
      <w:r w:rsidR="008D4AF5">
        <w:rPr>
          <w:rFonts w:eastAsia="Times New Roman" w:cs="Times New Roman"/>
          <w:kern w:val="0"/>
          <w:sz w:val="22"/>
          <w:szCs w:val="22"/>
          <w14:ligatures w14:val="none"/>
        </w:rPr>
        <w:t>nie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budów, lecz likwid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>acja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majątk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>u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>To oznacza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sprzeda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>ż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w drodze licytacji po cenach wymuszonej sprzedaży, co automatycznie obniżyłoby jego wartość.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 xml:space="preserve"> Wartości wymuszonej sprzedaży nie należy mylić z wartością rynkową nieruchomości. Ta pierwsza jest przeważnie o 20-30% niższa, a co więcej, może podlegać kolejnym korektom.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Dodatkowo koszty postępowania, szacowane na ponad 10 procent wartości aktywów, zostałyby pokryte z majątku spółek, zmniejszając pulę środków przeznaczonych na zaspokojenie wierzycieli. W efekcie inwestorzy mogliby liczyć na odzyskanie zaledwie 30–45 procent zaangażowanego kapitału, i to w perspektywie od pięciu do dziesięciu lat.</w:t>
      </w:r>
    </w:p>
    <w:p w14:paraId="72EDB752" w14:textId="6B956383" w:rsidR="00AD7FB9" w:rsidRPr="00A6585D" w:rsidRDefault="00AD7FB9" w:rsidP="00AD7F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- 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U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padłoś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ć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spółek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oznaczał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by scenariusz skrajnie niekorzystny dla inwestorów i klientów.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C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elem pozostaje 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naprawa sytuacji spółek w ramach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restrukturyzac</w:t>
      </w:r>
      <w:r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ji. Tylko takie działanie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lastRenderedPageBreak/>
        <w:t>pozwala zabezpieczyć wartość majątku, kontynuować inwestycje deweloperskie i zapewnić pełny zwrot zainwestowanego kapitału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mówi </w:t>
      </w:r>
      <w:proofErr w:type="spellStart"/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>Sapota</w:t>
      </w:r>
      <w:proofErr w:type="spellEnd"/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6F30D8A9" w14:textId="181990DC" w:rsidR="00DD2E13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Alternatywą pozostaje realizacja planu restrukturyzacyjnego, który 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 xml:space="preserve">jest obecnie aktualizowany. Zmiany wynikają m.in. z upływu czasu, ponieważ </w:t>
      </w:r>
      <w:r w:rsidR="00CF7A94">
        <w:rPr>
          <w:rFonts w:eastAsia="Times New Roman" w:cs="Times New Roman"/>
          <w:kern w:val="0"/>
          <w:sz w:val="22"/>
          <w:szCs w:val="22"/>
          <w14:ligatures w14:val="none"/>
        </w:rPr>
        <w:t xml:space="preserve">nie udało się doprowadzić do głosowania wierzycieli nad układem w oparciu o 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>dotychczasowy plan restrukturyzacji (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 xml:space="preserve">pierwotnie </w:t>
      </w:r>
      <w:r w:rsidR="00CF7A94">
        <w:rPr>
          <w:rFonts w:eastAsia="Times New Roman" w:cs="Times New Roman"/>
          <w:kern w:val="0"/>
          <w:sz w:val="22"/>
          <w:szCs w:val="22"/>
          <w14:ligatures w14:val="none"/>
        </w:rPr>
        <w:t>sporządzony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 xml:space="preserve"> przez </w:t>
      </w:r>
      <w:r w:rsidR="00CF7A94">
        <w:rPr>
          <w:rFonts w:eastAsia="Times New Roman" w:cs="Times New Roman"/>
          <w:kern w:val="0"/>
          <w:sz w:val="22"/>
          <w:szCs w:val="22"/>
          <w14:ligatures w14:val="none"/>
        </w:rPr>
        <w:t>dotychczasowego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 xml:space="preserve"> nadzorc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>ę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 xml:space="preserve"> sądowego). Znacznie ograniczyło to więc 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 xml:space="preserve">w minionych miesiącach 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>możliwoś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>ci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>zbycia części aktywów, uruchomienia wstrzymanych inwestycji czy rozpoczęcia kolejnych.</w:t>
      </w:r>
      <w:r w:rsidR="005027E7">
        <w:rPr>
          <w:rFonts w:eastAsia="Times New Roman" w:cs="Times New Roman"/>
          <w:kern w:val="0"/>
          <w:sz w:val="22"/>
          <w:szCs w:val="22"/>
          <w14:ligatures w14:val="none"/>
        </w:rPr>
        <w:t xml:space="preserve"> Dotychczasowe opóźnienie o około 3-4 kwartały spowodowało konieczność zmiany założeń</w:t>
      </w:r>
      <w:r w:rsidR="00CF7A94">
        <w:rPr>
          <w:rFonts w:eastAsia="Times New Roman" w:cs="Times New Roman"/>
          <w:kern w:val="0"/>
          <w:sz w:val="22"/>
          <w:szCs w:val="22"/>
          <w14:ligatures w14:val="none"/>
        </w:rPr>
        <w:t xml:space="preserve"> dotyczących harmonogramów</w:t>
      </w:r>
      <w:r w:rsidR="00DD2E13">
        <w:rPr>
          <w:rFonts w:eastAsia="Times New Roman" w:cs="Times New Roman"/>
          <w:kern w:val="0"/>
          <w:sz w:val="22"/>
          <w:szCs w:val="22"/>
          <w14:ligatures w14:val="none"/>
        </w:rPr>
        <w:t>, czego efekty niedługo zostaną przedstawione.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8AB65C2" w14:textId="24EC9E38" w:rsidR="00DA1759" w:rsidRPr="00DA1759" w:rsidRDefault="00DA1759" w:rsidP="00DA175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Wierzyciele są świadomi ryzyka wynikającego z wejścia na ścieżkę upadłości i dlatego ich poparcie dla restrukturyzacji jest bez porównania większe</w:t>
      </w:r>
      <w:r w:rsidR="00417D84">
        <w:rPr>
          <w:rFonts w:eastAsia="Times New Roman" w:cs="Times New Roman"/>
          <w:kern w:val="0"/>
          <w:sz w:val="22"/>
          <w:szCs w:val="22"/>
          <w14:ligatures w14:val="none"/>
        </w:rPr>
        <w:t xml:space="preserve"> niż poparcie dla upadłości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. Warto mieć świadomość, że </w:t>
      </w:r>
      <w:r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uproszczony wniosek o ogłoszenie upadłości BDC złożyło łącznie 18 osób mających w sumie wierzytelności na kwotę około 4 mln złotych. Dla porównania, pod wnioskiem za kontynuowaniem restrukturyzacji i zmianą nadzorcy w BDC podpisało się około 240 osób dysponujących wierzytelnościami na łączną kwotę ponad 55 mln złotych. </w:t>
      </w:r>
    </w:p>
    <w:p w14:paraId="32486033" w14:textId="66B654A1" w:rsidR="00A6585D" w:rsidRPr="00A6585D" w:rsidRDefault="00DA1759" w:rsidP="00DA175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A1759">
        <w:rPr>
          <w:rFonts w:eastAsia="Times New Roman" w:cs="Times New Roman"/>
          <w:kern w:val="0"/>
          <w:sz w:val="22"/>
          <w:szCs w:val="22"/>
          <w14:ligatures w14:val="none"/>
        </w:rPr>
        <w:t>Jeszcze bardziej jaskrawy jest przykład HREIT, wobec którego wniosek o upadłość złożyło łącznie 43 wierzycieli układowych, którym spółka winna jest około 27 mln złotych. Za to za dalszą restrukturyzacją i zmianą nadzorcy opowiedziało się około 630 osób dysponujących wierzytelnościami na łączną kwotę ponad 310 mln złotych</w:t>
      </w:r>
      <w:r w:rsidR="00AD7FB9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Pr="00DA1759">
        <w:rPr>
          <w:rFonts w:eastAsia="Times New Roman" w:cs="Times New Roman"/>
          <w:kern w:val="0"/>
          <w:sz w:val="22"/>
          <w:szCs w:val="22"/>
          <w14:ligatures w14:val="none"/>
        </w:rPr>
        <w:t>Przewaga osób, które chcą, aby firma stanęła na nogi i wywiązała się z podpisanych umów jest więc kilkunastokrotn</w:t>
      </w:r>
      <w:r w:rsidR="00AD7FB9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 wobec osób, które chcą, aby majątek został skatalogowany i wyprzedany.</w:t>
      </w:r>
    </w:p>
    <w:p w14:paraId="1D9F5AB3" w14:textId="1CF17119" w:rsidR="00A6585D" w:rsidRP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Wdrożenie planu restrukturyzacyjnego pozwala na ochronę wartości aktywów, kontynuację inwestycji deweloperskich oraz pełny zwrot środków inwestorom w okresie około trzech lat od zatwierdzenia układu. Co szczególnie ważne dla </w:t>
      </w:r>
      <w:r w:rsidR="008D4AF5">
        <w:rPr>
          <w:rFonts w:eastAsia="Times New Roman" w:cs="Times New Roman"/>
          <w:kern w:val="0"/>
          <w:sz w:val="22"/>
          <w:szCs w:val="22"/>
          <w14:ligatures w14:val="none"/>
        </w:rPr>
        <w:t>nabywców mieszkań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, restrukturyzacja jest jedyną opcją, która umożliwia faktyczne dokończenie budów i przekazanie </w:t>
      </w:r>
      <w:r w:rsidR="008D4AF5">
        <w:rPr>
          <w:rFonts w:eastAsia="Times New Roman" w:cs="Times New Roman"/>
          <w:kern w:val="0"/>
          <w:sz w:val="22"/>
          <w:szCs w:val="22"/>
          <w14:ligatures w14:val="none"/>
        </w:rPr>
        <w:t xml:space="preserve">kluczy do lokali 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w przewidywalnym terminie, zgodnie z pierwotnymi umowami i w niezmienionej cenie – bez konieczności dopłat.</w:t>
      </w:r>
    </w:p>
    <w:p w14:paraId="05673429" w14:textId="249B1EB6" w:rsidR="00A6585D" w:rsidRP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– 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Po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mimo braku zatwierdzonego układu, udało nam się</w:t>
      </w:r>
      <w:r w:rsidR="00631444" w:rsidRP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w przeciągu niewiele ponad roku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oddać do użytkowania</w:t>
      </w:r>
      <w:r w:rsidR="00631444" w:rsidRP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6E641C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5</w:t>
      </w:r>
      <w:r w:rsidR="00631444" w:rsidRP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inwestycji i przekaz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ać</w:t>
      </w:r>
      <w:r w:rsidR="00631444" w:rsidRP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klucze do </w:t>
      </w:r>
      <w:r w:rsidR="006E641C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437</w:t>
      </w:r>
      <w:r w:rsidR="00631444" w:rsidRP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mieszkań.</w:t>
      </w:r>
      <w:r w:rsidR="0063144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To dowód, że restrukturyzacja działa i daje realne efekty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i to pomimo braku wsparcia ze strony nadzorcy czy sądu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. Naszym priorytetem pozostaje szybkie zatwierdzenie układu i ochrona wierzycieli oraz klientów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podkreśla </w:t>
      </w:r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>prezes.</w:t>
      </w:r>
    </w:p>
    <w:p w14:paraId="6348C609" w14:textId="54A4A2E5" w:rsidR="00A6585D" w:rsidRPr="00A6585D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Spółki już złożyły zażalenia procesowe na decyzj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>e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Sądu 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>Rejonowego</w:t>
      </w:r>
      <w:r w:rsidR="008D4AF5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>Ponadto zawiadomiona została</w:t>
      </w:r>
      <w:r w:rsidR="00DA1759"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 prokuratur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="00DA1759"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 xml:space="preserve">a </w:t>
      </w:r>
      <w:r w:rsidR="00DA1759"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Ministerstwo Sprawiedliwości 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>otrzymało wniosek</w:t>
      </w:r>
      <w:r w:rsidR="00DA1759" w:rsidRP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 o objęcie postępowania nadzorem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>. Wbrew medialnym doniesieniom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 xml:space="preserve"> Spółki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prowadz</w:t>
      </w:r>
      <w:r w:rsidR="009C5409">
        <w:rPr>
          <w:rFonts w:eastAsia="Times New Roman" w:cs="Times New Roman"/>
          <w:kern w:val="0"/>
          <w:sz w:val="22"/>
          <w:szCs w:val="22"/>
          <w14:ligatures w14:val="none"/>
        </w:rPr>
        <w:t>ą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 też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bieżący dialog z </w:t>
      </w:r>
      <w:r w:rsidR="00CF7A94">
        <w:rPr>
          <w:rFonts w:eastAsia="Times New Roman" w:cs="Times New Roman"/>
          <w:kern w:val="0"/>
          <w:sz w:val="22"/>
          <w:szCs w:val="22"/>
          <w14:ligatures w14:val="none"/>
        </w:rPr>
        <w:t>zarządcą przymusowym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. Trwają prace nad aktualizacją planu restrukturyzacyjnego, który obejmuje zarówno harmonogramy zwrotu środków inwestorom, jak i 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 xml:space="preserve">przewidywane terminy 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>dokończeni</w:t>
      </w:r>
      <w:r w:rsidR="00DA1759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budów.</w:t>
      </w:r>
    </w:p>
    <w:p w14:paraId="065734B1" w14:textId="00C5B366" w:rsidR="00631444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–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Upadłość oznaczałaby zamrożenie aktywów, </w:t>
      </w:r>
      <w:r w:rsidR="00DA175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kosztowne i długotrwałe postępowanie,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realne straty</w:t>
      </w:r>
      <w:r w:rsidR="00DA175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wieloletnie oczekiwanie na środki</w:t>
      </w:r>
      <w:r w:rsidR="00DA1759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, a punktu widzenia nabywców mieszkań ryzyko dopłat, czy w skrajnym przypadku nawet utratę praw do lokali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. Restrukturyzacja to jedyne rozwiązanie, które pozwala na pełne zaspokojenie wierzycieli i zakończenie budów. Dlatego robimy wszystko, </w:t>
      </w:r>
      <w:r w:rsidRPr="00A6585D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lastRenderedPageBreak/>
        <w:t xml:space="preserve">aby sąd 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przyc</w:t>
      </w:r>
      <w:r w:rsidR="00DA738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h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ylił się do scenariusza</w:t>
      </w:r>
      <w:r w:rsidR="00DA738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, w którym spółki unikną upadłości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, a wierzyciele dosta</w:t>
      </w:r>
      <w:r w:rsidR="00DA738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ną</w:t>
      </w:r>
      <w:r w:rsidR="00417D8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 xml:space="preserve"> możliwość głosowania nad zatwierdzeniem </w:t>
      </w:r>
      <w:r w:rsidR="00CF7A94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układu</w:t>
      </w:r>
      <w:r w:rsidRPr="00A6585D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podsumowuje </w:t>
      </w:r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 xml:space="preserve">Michał </w:t>
      </w:r>
      <w:proofErr w:type="spellStart"/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>Sapota</w:t>
      </w:r>
      <w:proofErr w:type="spellEnd"/>
      <w:r w:rsidR="004A062D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370361E0" w14:textId="77777777" w:rsidR="00B8603B" w:rsidRPr="00B8603B" w:rsidRDefault="00B8603B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6DA869D" w14:textId="3DF8A177" w:rsidR="0018329D" w:rsidRPr="00631444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631444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Kontakt dla mediów:</w:t>
      </w:r>
    </w:p>
    <w:p w14:paraId="2659CCF0" w14:textId="36C93FBF" w:rsidR="00631444" w:rsidRPr="009C5409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C5409">
        <w:rPr>
          <w:rFonts w:eastAsia="Times New Roman" w:cs="Times New Roman"/>
          <w:kern w:val="0"/>
          <w:sz w:val="22"/>
          <w:szCs w:val="22"/>
          <w14:ligatures w14:val="none"/>
        </w:rPr>
        <w:t>Biuro prasowe HREIT S.A.</w:t>
      </w:r>
      <w:r w:rsidR="009C5409" w:rsidRPr="009C540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9C5409" w:rsidRPr="009C5409">
        <w:rPr>
          <w:rFonts w:eastAsia="Times New Roman" w:cs="Times New Roman"/>
          <w:kern w:val="0"/>
          <w:sz w:val="22"/>
          <w:szCs w:val="22"/>
          <w14:ligatures w14:val="none"/>
        </w:rPr>
        <w:t>w restrukturyzacji</w:t>
      </w:r>
      <w:r w:rsidRPr="009C5409">
        <w:rPr>
          <w:rFonts w:eastAsia="Times New Roman" w:cs="Times New Roman"/>
          <w:kern w:val="0"/>
          <w:sz w:val="22"/>
          <w:szCs w:val="22"/>
          <w14:ligatures w14:val="none"/>
        </w:rPr>
        <w:t xml:space="preserve"> i BDC Development S.A.</w:t>
      </w:r>
      <w:r w:rsidR="009C5409" w:rsidRPr="009C5409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9C5409" w:rsidRPr="009C5409">
        <w:rPr>
          <w:rFonts w:eastAsia="Times New Roman" w:cs="Times New Roman"/>
          <w:kern w:val="0"/>
          <w:sz w:val="22"/>
          <w:szCs w:val="22"/>
          <w14:ligatures w14:val="none"/>
        </w:rPr>
        <w:t>w restrukturyzacji</w:t>
      </w:r>
    </w:p>
    <w:p w14:paraId="0B98FBA1" w14:textId="20F0565E" w:rsidR="00631444" w:rsidRPr="00631444" w:rsidRDefault="00631444" w:rsidP="00631444">
      <w:pPr>
        <w:spacing w:before="100" w:beforeAutospacing="1" w:after="100" w:afterAutospacing="1" w:line="240" w:lineRule="auto"/>
        <w:rPr>
          <w:sz w:val="22"/>
          <w:szCs w:val="22"/>
        </w:rPr>
      </w:pPr>
      <w:hyperlink r:id="rId7" w:history="1">
        <w:r w:rsidRPr="00631444">
          <w:rPr>
            <w:rStyle w:val="Hipercze"/>
            <w:rFonts w:eastAsia="Times New Roman" w:cs="Times New Roman"/>
            <w:kern w:val="0"/>
            <w:sz w:val="22"/>
            <w:szCs w:val="22"/>
            <w14:ligatures w14:val="none"/>
          </w:rPr>
          <w:t>biuroprasowe@hreit.pl</w:t>
        </w:r>
      </w:hyperlink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="00631444" w:rsidRPr="0063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2CFC" w14:textId="77777777" w:rsidR="007168F3" w:rsidRDefault="007168F3" w:rsidP="00631444">
      <w:pPr>
        <w:spacing w:after="0" w:line="240" w:lineRule="auto"/>
      </w:pPr>
      <w:r>
        <w:separator/>
      </w:r>
    </w:p>
  </w:endnote>
  <w:endnote w:type="continuationSeparator" w:id="0">
    <w:p w14:paraId="5DCCC991" w14:textId="77777777" w:rsidR="007168F3" w:rsidRDefault="007168F3" w:rsidP="0063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338D" w14:textId="77777777" w:rsidR="007168F3" w:rsidRDefault="007168F3" w:rsidP="00631444">
      <w:pPr>
        <w:spacing w:after="0" w:line="240" w:lineRule="auto"/>
      </w:pPr>
      <w:r>
        <w:separator/>
      </w:r>
    </w:p>
  </w:footnote>
  <w:footnote w:type="continuationSeparator" w:id="0">
    <w:p w14:paraId="1E24E1A3" w14:textId="77777777" w:rsidR="007168F3" w:rsidRDefault="007168F3" w:rsidP="00631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D"/>
    <w:rsid w:val="00143F01"/>
    <w:rsid w:val="0018329D"/>
    <w:rsid w:val="003365FE"/>
    <w:rsid w:val="00366F77"/>
    <w:rsid w:val="003F3DA5"/>
    <w:rsid w:val="00412284"/>
    <w:rsid w:val="00417D84"/>
    <w:rsid w:val="00445900"/>
    <w:rsid w:val="00497F96"/>
    <w:rsid w:val="004A062D"/>
    <w:rsid w:val="005027E7"/>
    <w:rsid w:val="00631444"/>
    <w:rsid w:val="006B0339"/>
    <w:rsid w:val="006E641C"/>
    <w:rsid w:val="007168F3"/>
    <w:rsid w:val="00885E24"/>
    <w:rsid w:val="008870C7"/>
    <w:rsid w:val="008D4AF5"/>
    <w:rsid w:val="009C3DB4"/>
    <w:rsid w:val="009C5409"/>
    <w:rsid w:val="009E656C"/>
    <w:rsid w:val="009F755C"/>
    <w:rsid w:val="00A375C4"/>
    <w:rsid w:val="00A6585D"/>
    <w:rsid w:val="00A85AB9"/>
    <w:rsid w:val="00AD7FB9"/>
    <w:rsid w:val="00AE2D8B"/>
    <w:rsid w:val="00B01B85"/>
    <w:rsid w:val="00B8603B"/>
    <w:rsid w:val="00BD523B"/>
    <w:rsid w:val="00C130AC"/>
    <w:rsid w:val="00CE0294"/>
    <w:rsid w:val="00CF7A94"/>
    <w:rsid w:val="00DA1759"/>
    <w:rsid w:val="00DA738E"/>
    <w:rsid w:val="00DD2E13"/>
    <w:rsid w:val="00E87B00"/>
    <w:rsid w:val="00E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567"/>
  <w15:chartTrackingRefBased/>
  <w15:docId w15:val="{7180CD0A-CFF6-344A-91B2-0C02D127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6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6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85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6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658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3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444"/>
  </w:style>
  <w:style w:type="paragraph" w:styleId="Stopka">
    <w:name w:val="footer"/>
    <w:basedOn w:val="Normalny"/>
    <w:link w:val="StopkaZnak"/>
    <w:uiPriority w:val="99"/>
    <w:unhideWhenUsed/>
    <w:rsid w:val="0063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444"/>
  </w:style>
  <w:style w:type="character" w:styleId="Hipercze">
    <w:name w:val="Hyperlink"/>
    <w:basedOn w:val="Domylnaczcionkaakapitu"/>
    <w:uiPriority w:val="99"/>
    <w:unhideWhenUsed/>
    <w:rsid w:val="006314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4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5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uroprasowe@hre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Maliszewska</dc:creator>
  <cp:keywords/>
  <dc:description/>
  <cp:lastModifiedBy>Microsoft Office User</cp:lastModifiedBy>
  <cp:revision>3</cp:revision>
  <dcterms:created xsi:type="dcterms:W3CDTF">2025-08-29T15:44:00Z</dcterms:created>
  <dcterms:modified xsi:type="dcterms:W3CDTF">2025-08-29T15:44:00Z</dcterms:modified>
</cp:coreProperties>
</file>