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E6A" w14:textId="77777777" w:rsidR="002A3E2D" w:rsidRDefault="00000000">
      <w:pPr>
        <w:spacing w:after="280" w:line="240" w:lineRule="auto"/>
        <w:rPr>
          <w:b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009EE002" wp14:editId="6A045F87">
            <wp:extent cx="1905282" cy="806049"/>
            <wp:effectExtent l="0" t="0" r="0" b="0"/>
            <wp:docPr id="1" name="image1.png" descr="HREIT – Deweloper ogólnopolski | Heritage Real Es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REIT – Deweloper ogólnopolski | Heritage Real Esta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282" cy="806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</w:p>
    <w:p w14:paraId="7CF51706" w14:textId="77777777" w:rsidR="002A3E2D" w:rsidRDefault="002A3E2D">
      <w:pPr>
        <w:spacing w:before="280" w:after="280" w:line="240" w:lineRule="auto"/>
        <w:rPr>
          <w:color w:val="000000"/>
          <w:sz w:val="22"/>
          <w:szCs w:val="22"/>
        </w:rPr>
      </w:pPr>
    </w:p>
    <w:p w14:paraId="61813E4F" w14:textId="77777777" w:rsidR="002A3E2D" w:rsidRDefault="00000000">
      <w:pPr>
        <w:spacing w:before="280" w:after="28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Komunikat prasowy</w:t>
      </w:r>
    </w:p>
    <w:p w14:paraId="364043BA" w14:textId="77777777" w:rsidR="002A3E2D" w:rsidRDefault="00000000">
      <w:pPr>
        <w:spacing w:before="280" w:after="28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Warszawa, 1 października 2025</w:t>
      </w:r>
    </w:p>
    <w:p w14:paraId="5A73070B" w14:textId="77777777" w:rsidR="002A3E2D" w:rsidRDefault="002A3E2D">
      <w:pPr>
        <w:rPr>
          <w:color w:val="000000"/>
          <w:sz w:val="22"/>
          <w:szCs w:val="22"/>
        </w:rPr>
      </w:pPr>
    </w:p>
    <w:p w14:paraId="09E20DFC" w14:textId="77777777" w:rsidR="002A3E2D" w:rsidRDefault="00000000">
      <w:pPr>
        <w:pStyle w:val="Nagwek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HREIT S.A. złożyła wniosek o otwarcie postępowania sanacyjnego. Spółka liczy na restrukturyzację i kontynuację działalności</w:t>
      </w:r>
    </w:p>
    <w:p w14:paraId="403F3FFC" w14:textId="563B6488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 poniedziałek, 29 września HREIT S.A. złożyła w sądzie wniosek o otwarcie postępowania sanacyjnego. Mimo wielu obiektywnych trudności, Spółka widzi możliwość uniknięcia upadłości oraz skutecznego przeprowadzenia restrukturyzacji. Zamierza </w:t>
      </w:r>
      <w:r w:rsidR="000C11F3">
        <w:rPr>
          <w:b/>
          <w:color w:val="000000"/>
          <w:sz w:val="22"/>
          <w:szCs w:val="22"/>
        </w:rPr>
        <w:t xml:space="preserve">w ten sposób </w:t>
      </w:r>
      <w:r>
        <w:rPr>
          <w:b/>
          <w:color w:val="000000"/>
          <w:sz w:val="22"/>
          <w:szCs w:val="22"/>
        </w:rPr>
        <w:t>doprowadzić do realizacji wszystkich inwestycji i spłaty wierzycieli</w:t>
      </w:r>
      <w:r w:rsidR="000C11F3">
        <w:rPr>
          <w:b/>
          <w:color w:val="000000"/>
          <w:sz w:val="22"/>
          <w:szCs w:val="22"/>
        </w:rPr>
        <w:t>, co jest niemożliwe w przypadku scenariusza upadłościowego</w:t>
      </w:r>
      <w:r>
        <w:rPr>
          <w:b/>
          <w:color w:val="000000"/>
          <w:sz w:val="22"/>
          <w:szCs w:val="22"/>
        </w:rPr>
        <w:t>.</w:t>
      </w:r>
    </w:p>
    <w:p w14:paraId="55866C4E" w14:textId="77777777" w:rsidR="002A3E2D" w:rsidRDefault="00000000">
      <w:pPr>
        <w:pStyle w:val="Nagwek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Inwestycje w Nowym Dworze Mazowieckim na finiszu</w:t>
      </w:r>
    </w:p>
    <w:p w14:paraId="20F5CA4C" w14:textId="77777777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Dwie duże inwestycje realizowane w Nowym Dworze Mazowieckim przez BDC Development, spółkę z grupy kapitałowej HREIT, są na ukończeniu. Chodzi o projekty Warszawska </w:t>
      </w:r>
      <w:proofErr w:type="spellStart"/>
      <w:r>
        <w:rPr>
          <w:color w:val="000000"/>
          <w:sz w:val="22"/>
          <w:szCs w:val="22"/>
        </w:rPr>
        <w:t>Sky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Złota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Zgodnie z komunikatem prasowym Spółki z 24 września 2025 roku, dzięki ustaleniom BDC Development z generalnym wykonawcą, przyspieszone zostały prace na obu budowach.</w:t>
      </w:r>
    </w:p>
    <w:p w14:paraId="105E96E9" w14:textId="3F41C16E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części lokali w inwestycji Warszawska </w:t>
      </w:r>
      <w:proofErr w:type="spellStart"/>
      <w:r>
        <w:rPr>
          <w:color w:val="000000"/>
          <w:sz w:val="22"/>
          <w:szCs w:val="22"/>
        </w:rPr>
        <w:t>Sky</w:t>
      </w:r>
      <w:proofErr w:type="spellEnd"/>
      <w:r>
        <w:rPr>
          <w:color w:val="000000"/>
          <w:sz w:val="22"/>
          <w:szCs w:val="22"/>
        </w:rPr>
        <w:t xml:space="preserve"> rozpoczęły się już odbiory techniczne. BDC Development planuje, że </w:t>
      </w:r>
      <w:r w:rsidR="000C11F3">
        <w:rPr>
          <w:color w:val="000000"/>
          <w:sz w:val="22"/>
          <w:szCs w:val="22"/>
        </w:rPr>
        <w:t>mieszkania te</w:t>
      </w:r>
      <w:r>
        <w:rPr>
          <w:color w:val="000000"/>
          <w:sz w:val="22"/>
          <w:szCs w:val="22"/>
        </w:rPr>
        <w:t xml:space="preserve"> zostaną przekazane właścicielom już w IV kwartale 2025 roku</w:t>
      </w:r>
      <w:r w:rsidR="000C11F3">
        <w:rPr>
          <w:color w:val="000000"/>
          <w:sz w:val="22"/>
          <w:szCs w:val="22"/>
        </w:rPr>
        <w:t xml:space="preserve">. Jest to prawie 300 lokali. Mieszkania z projektu przy ulicy Złotej w Nowym Dworze Mazowieckim mają natomiast trafić do nabywców </w:t>
      </w:r>
      <w:r>
        <w:rPr>
          <w:color w:val="000000"/>
          <w:sz w:val="22"/>
          <w:szCs w:val="22"/>
        </w:rPr>
        <w:t>w pierwszej połowie 2026 roku.</w:t>
      </w:r>
    </w:p>
    <w:p w14:paraId="17D01F32" w14:textId="77777777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Łącznie obie inwestycje obejmują 360 mieszkań. Szacowany koszt ich dokończenia wynosi mniej niż 20 mln zł, natomiast prognozowane przychody ze sprzedaży lokali to około 43,5 mln zł. Oznacza to nadwyżkę w wysokości około 23,5 mln zł, która według planów spółki, ma zostać przeznaczona na dokończenie kolejnych inwestycji oraz rozliczenia z wierzycielami. Z tytułu dotychczasowej sprzedaży do uwolnienia z rachunków powierniczych pozostaje jeszcze 11 mln zł.</w:t>
      </w:r>
    </w:p>
    <w:p w14:paraId="26497DA2" w14:textId="77777777" w:rsidR="002A3E2D" w:rsidRDefault="00000000">
      <w:pPr>
        <w:pStyle w:val="Nagwek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Branża wierzy w powodzenie sanacji</w:t>
      </w:r>
    </w:p>
    <w:p w14:paraId="6EC1ED7D" w14:textId="77777777" w:rsidR="00D977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wniosku o otwarcie postępowania sanacyjnego HREIT dołączyła siedem listów intencyjnych i ofert odkupienia części aktywów, złożonych przez firmy deweloperskie i fundusze inwestycyjne. Zdaniem Spółki dokumenty te potwierdzają, że rynek widzi szansę na uratowanie HREIT. Taką możliwość wskazywał wcześniej prezes spółki, Michał Sapota. Poza tym trwają rozmowy z kolejnymi inwestorami.</w:t>
      </w:r>
      <w:r w:rsidR="00BD2880">
        <w:rPr>
          <w:color w:val="000000"/>
          <w:sz w:val="22"/>
          <w:szCs w:val="22"/>
        </w:rPr>
        <w:t xml:space="preserve"> </w:t>
      </w:r>
    </w:p>
    <w:p w14:paraId="6C6579BA" w14:textId="759A4282" w:rsidR="002A3E2D" w:rsidRDefault="00BD2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powinno ulegać wątpliwości, że warunki umów, które mogą być zawarte w efekcie tych rokowań, będą </w:t>
      </w:r>
      <w:r w:rsidR="00836F14">
        <w:rPr>
          <w:color w:val="000000"/>
          <w:sz w:val="22"/>
          <w:szCs w:val="22"/>
        </w:rPr>
        <w:t>korzystniejsze,</w:t>
      </w:r>
      <w:r>
        <w:rPr>
          <w:color w:val="000000"/>
          <w:sz w:val="22"/>
          <w:szCs w:val="22"/>
        </w:rPr>
        <w:t xml:space="preserve"> jeśli stroną będzie spółka w restrukturyzacji, a nie zmuszona do likwidacji majątku spółka w upadłości. To kluczowe z punktu widzenia nabywców mieszkań, którzy w przypadku upadłości mogą nie dostać kluczy do </w:t>
      </w:r>
      <w:r w:rsidR="00D97701">
        <w:rPr>
          <w:color w:val="000000"/>
          <w:sz w:val="22"/>
          <w:szCs w:val="22"/>
        </w:rPr>
        <w:t>kupionych lokali</w:t>
      </w:r>
      <w:r>
        <w:rPr>
          <w:color w:val="000000"/>
          <w:sz w:val="22"/>
          <w:szCs w:val="22"/>
        </w:rPr>
        <w:t xml:space="preserve"> oraz inwestorów </w:t>
      </w:r>
      <w:r>
        <w:rPr>
          <w:color w:val="000000"/>
          <w:sz w:val="22"/>
          <w:szCs w:val="22"/>
        </w:rPr>
        <w:lastRenderedPageBreak/>
        <w:t>indywidualnych</w:t>
      </w:r>
      <w:r w:rsidR="00D97701">
        <w:rPr>
          <w:color w:val="000000"/>
          <w:sz w:val="22"/>
          <w:szCs w:val="22"/>
        </w:rPr>
        <w:t>, którzy – w ocenie HREIT - nie otrzymają pełnego zwrotu pożyczonego kapitału</w:t>
      </w:r>
      <w:r>
        <w:rPr>
          <w:color w:val="000000"/>
          <w:sz w:val="22"/>
          <w:szCs w:val="22"/>
        </w:rPr>
        <w:t xml:space="preserve"> w przypadku likwidacji majątku </w:t>
      </w:r>
      <w:r w:rsidR="00D97701">
        <w:rPr>
          <w:color w:val="000000"/>
          <w:sz w:val="22"/>
          <w:szCs w:val="22"/>
        </w:rPr>
        <w:t xml:space="preserve">spółki </w:t>
      </w:r>
      <w:r>
        <w:rPr>
          <w:color w:val="000000"/>
          <w:sz w:val="22"/>
          <w:szCs w:val="22"/>
        </w:rPr>
        <w:t xml:space="preserve">po cenach niższych niż rynkowe. </w:t>
      </w:r>
    </w:p>
    <w:p w14:paraId="0BFBD886" w14:textId="77777777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Spółki z grupy kapitałowej HREIT ukończyły dotąd 12 inwestycji, obejmujących łącznie 29 budynków w takich miastach jak Pruszcz Gdański, Zegrze, Radzymin, Nowy Dwór Mazowiecki, Łódź, Wrocław, Opole i Oświęcim. W ramach tych projektów oddano ponad 1330 mieszkań o łącznej powierzchni blisko 60 000 m².</w:t>
      </w:r>
    </w:p>
    <w:p w14:paraId="57AE3B36" w14:textId="2B7A9E18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Grupa HREIT posiada także znaczny bank ziemi. Po wyłączeniu działek przeznaczonych na sprzedaż, o wartości przekraczającej 400 mln zł, grunty te pozwalają na budowę ponad 370 000 m² mieszkań o wartości blisko 3,7 mld zł według cen na koniec grudnia 2024 roku. Na realizację trwających inwestycji mieszkaniowych poniesiono już </w:t>
      </w:r>
      <w:r w:rsidR="000C11F3">
        <w:rPr>
          <w:color w:val="000000"/>
          <w:sz w:val="22"/>
          <w:szCs w:val="22"/>
        </w:rPr>
        <w:t xml:space="preserve">ponadto </w:t>
      </w:r>
      <w:r>
        <w:rPr>
          <w:color w:val="000000"/>
          <w:sz w:val="22"/>
          <w:szCs w:val="22"/>
        </w:rPr>
        <w:t>nakłady sięgające kilkuset milionów złotych.</w:t>
      </w:r>
    </w:p>
    <w:p w14:paraId="522258BD" w14:textId="77777777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 momentu otwarcia postępowania restrukturyzacyjnego spółki z grupy HREIT dokończyły pięć inwestycji, uzyskując pozwolenia na użytkowanie i wydając łącznie 437 mieszkań lokatorom.</w:t>
      </w:r>
    </w:p>
    <w:p w14:paraId="0AB32780" w14:textId="77777777" w:rsidR="002A3E2D" w:rsidRDefault="00000000">
      <w:pPr>
        <w:pStyle w:val="Nagwek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Nowe plany restrukturyzacji</w:t>
      </w:r>
    </w:p>
    <w:p w14:paraId="15FF0F00" w14:textId="3D2C63EB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Spółka wskazuje, że sąd dotychczas nie wyraził zgody na powołanie rady wierzycieli ani na przeprowadzenie głosowania nad układem. Nie zezwolił także na sprzedaż części nieruchomości, </w:t>
      </w:r>
      <w:r w:rsidR="00836F14">
        <w:rPr>
          <w:color w:val="000000"/>
          <w:sz w:val="22"/>
          <w:szCs w:val="22"/>
        </w:rPr>
        <w:t>co według</w:t>
      </w:r>
      <w:r>
        <w:rPr>
          <w:color w:val="000000"/>
          <w:sz w:val="22"/>
          <w:szCs w:val="22"/>
        </w:rPr>
        <w:t xml:space="preserve"> HREIT uniemożliwia realizację jednego z przewidzianych środków restrukturyzacyjnych i ogranicza możliwość szybkiego dokapitalizowania spółki oraz rozpoczęcia nowych inwestycji.</w:t>
      </w:r>
    </w:p>
    <w:p w14:paraId="74EF40FF" w14:textId="58A67FD6" w:rsidR="002A3E2D" w:rsidRDefault="000C11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Dlatego</w:t>
      </w:r>
      <w:r w:rsidR="00D97701">
        <w:rPr>
          <w:color w:val="000000"/>
          <w:sz w:val="22"/>
          <w:szCs w:val="22"/>
        </w:rPr>
        <w:t>, aby uniknąć scenariusza upadłościowego,</w:t>
      </w:r>
      <w:r>
        <w:rPr>
          <w:color w:val="000000"/>
          <w:sz w:val="22"/>
          <w:szCs w:val="22"/>
        </w:rPr>
        <w:t xml:space="preserve"> z ponad 30-proc. poparciem wierzycieli HREIT </w:t>
      </w:r>
      <w:r w:rsidR="00D97701">
        <w:rPr>
          <w:color w:val="000000"/>
          <w:sz w:val="22"/>
          <w:szCs w:val="22"/>
        </w:rPr>
        <w:t>złożył</w:t>
      </w:r>
      <w:r>
        <w:rPr>
          <w:color w:val="000000"/>
          <w:sz w:val="22"/>
          <w:szCs w:val="22"/>
        </w:rPr>
        <w:t xml:space="preserve"> ponown</w:t>
      </w:r>
      <w:r w:rsidR="00D97701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wnios</w:t>
      </w:r>
      <w:r w:rsidR="00D97701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k o restrukturyzację proponując </w:t>
      </w:r>
      <w:r w:rsidR="00BD2880">
        <w:rPr>
          <w:color w:val="000000"/>
          <w:sz w:val="22"/>
          <w:szCs w:val="22"/>
        </w:rPr>
        <w:t xml:space="preserve">do roli </w:t>
      </w:r>
      <w:r w:rsidR="00D97701">
        <w:rPr>
          <w:color w:val="000000"/>
          <w:sz w:val="22"/>
          <w:szCs w:val="22"/>
        </w:rPr>
        <w:t>zarządcy</w:t>
      </w:r>
      <w:r w:rsidR="00BD2880">
        <w:rPr>
          <w:color w:val="000000"/>
          <w:sz w:val="22"/>
          <w:szCs w:val="22"/>
        </w:rPr>
        <w:t xml:space="preserve"> osobę z doświadczeniem w branży nieruchomości. W</w:t>
      </w:r>
      <w:r>
        <w:rPr>
          <w:color w:val="000000"/>
          <w:sz w:val="22"/>
          <w:szCs w:val="22"/>
        </w:rPr>
        <w:t xml:space="preserve"> sierpniu 2024 roku BDC Development złożyła w sądzie nowy wniosek restrukturyzacyjny, a 11 września 2025 roku przedstawiła wstępny plan restrukturyzacyjny, uwzględniający najnowsze działania i postępy w realizacji inwestycji. Plan zakłada oddanie kluczy do mieszkań w trwających budowach w ciągu kilku kwartałów, a w pozostałych inwestycjach – do około trzech lat od zatwierdzenia układu.</w:t>
      </w:r>
    </w:p>
    <w:p w14:paraId="199D7A37" w14:textId="77777777" w:rsidR="002A3E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Pełny zwrot kapitału pożyczonego od inwestorów indywidualnych ma zostać powiększony o odsetki i wypłacony w transzach. Pierwsza w ciągu kilku kwartałów od prawomocnego zatwierdzenia układu, a ostatnia do 2030 roku.</w:t>
      </w:r>
    </w:p>
    <w:p w14:paraId="496641F5" w14:textId="77777777" w:rsidR="002A3E2D" w:rsidRDefault="002A3E2D">
      <w:pPr>
        <w:spacing w:after="0" w:line="240" w:lineRule="auto"/>
        <w:rPr>
          <w:b/>
          <w:color w:val="000000"/>
          <w:sz w:val="22"/>
          <w:szCs w:val="22"/>
        </w:rPr>
      </w:pPr>
    </w:p>
    <w:p w14:paraId="72FD33C2" w14:textId="77777777" w:rsidR="002A3E2D" w:rsidRDefault="00000000">
      <w:pPr>
        <w:spacing w:after="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 dla mediów:</w:t>
      </w:r>
    </w:p>
    <w:p w14:paraId="76B79EEC" w14:textId="77777777" w:rsidR="002A3E2D" w:rsidRDefault="002A3E2D">
      <w:pPr>
        <w:spacing w:after="0" w:line="240" w:lineRule="auto"/>
        <w:rPr>
          <w:color w:val="000000"/>
          <w:sz w:val="22"/>
          <w:szCs w:val="22"/>
        </w:rPr>
      </w:pPr>
    </w:p>
    <w:p w14:paraId="7D58B0E7" w14:textId="77777777" w:rsidR="002A3E2D" w:rsidRDefault="00000000">
      <w:pP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Biuro prasowe HREIT S.A. i BDC Development S.A. </w:t>
      </w:r>
    </w:p>
    <w:p w14:paraId="4E8780C8" w14:textId="6B02000A" w:rsidR="002A3E2D" w:rsidRDefault="002A3E2D">
      <w:pPr>
        <w:spacing w:after="0" w:line="240" w:lineRule="auto"/>
        <w:rPr>
          <w:color w:val="000000"/>
          <w:sz w:val="22"/>
          <w:szCs w:val="22"/>
        </w:rPr>
      </w:pPr>
      <w:hyperlink r:id="rId5">
        <w:r>
          <w:rPr>
            <w:color w:val="000000"/>
            <w:sz w:val="22"/>
            <w:szCs w:val="22"/>
            <w:u w:val="single"/>
          </w:rPr>
          <w:t>biuroprasowe@hreit.pl</w:t>
        </w:r>
      </w:hyperlink>
      <w:r w:rsidR="00836F14">
        <w:t xml:space="preserve"> </w:t>
      </w:r>
    </w:p>
    <w:p w14:paraId="3F646407" w14:textId="77777777" w:rsidR="002A3E2D" w:rsidRDefault="002A3E2D">
      <w:pPr>
        <w:rPr>
          <w:color w:val="000000"/>
          <w:sz w:val="22"/>
          <w:szCs w:val="22"/>
        </w:rPr>
      </w:pPr>
    </w:p>
    <w:p w14:paraId="095E458D" w14:textId="77777777" w:rsidR="002A3E2D" w:rsidRDefault="00000000">
      <w:pPr>
        <w:spacing w:before="28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2A3E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2D"/>
    <w:rsid w:val="000C11F3"/>
    <w:rsid w:val="002A3E2D"/>
    <w:rsid w:val="005636C0"/>
    <w:rsid w:val="0064601A"/>
    <w:rsid w:val="00744EC7"/>
    <w:rsid w:val="00836F14"/>
    <w:rsid w:val="00852176"/>
    <w:rsid w:val="0092579C"/>
    <w:rsid w:val="00BD2880"/>
    <w:rsid w:val="00C75B37"/>
    <w:rsid w:val="00C923FE"/>
    <w:rsid w:val="00D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7C1B"/>
  <w15:docId w15:val="{6A579F3C-D61E-4B8A-938F-9DE775F9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paragraph" w:styleId="Poprawka">
    <w:name w:val="Revision"/>
    <w:hidden/>
    <w:uiPriority w:val="99"/>
    <w:semiHidden/>
    <w:rsid w:val="000C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prasowe@hreit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659</Words>
  <Characters>4191</Characters>
  <Application>Microsoft Office Word</Application>
  <DocSecurity>0</DocSecurity>
  <Lines>73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Turek</dc:creator>
  <cp:lastModifiedBy>Microsoft Office User</cp:lastModifiedBy>
  <cp:revision>3</cp:revision>
  <dcterms:created xsi:type="dcterms:W3CDTF">2025-10-01T10:11:00Z</dcterms:created>
  <dcterms:modified xsi:type="dcterms:W3CDTF">2025-10-10T06:35:00Z</dcterms:modified>
</cp:coreProperties>
</file>